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98916" w14:textId="5B4BB261" w:rsidR="00932A6F" w:rsidRPr="001C6BC3" w:rsidRDefault="00932A6F" w:rsidP="001C6BC3">
      <w:pPr>
        <w:pStyle w:val="Default"/>
        <w:jc w:val="center"/>
        <w:rPr>
          <w:rFonts w:ascii="Arial" w:hAnsi="Arial" w:cs="Arial"/>
          <w:b/>
          <w:bCs/>
        </w:rPr>
      </w:pPr>
      <w:r w:rsidRPr="001C6BC3">
        <w:rPr>
          <w:rFonts w:ascii="Arial" w:hAnsi="Arial" w:cs="Arial"/>
          <w:b/>
          <w:bCs/>
        </w:rPr>
        <w:t>ANEXO III</w:t>
      </w:r>
    </w:p>
    <w:p w14:paraId="3A8CFB3E" w14:textId="77777777" w:rsidR="00932A6F" w:rsidRPr="001C6BC3" w:rsidRDefault="00932A6F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</w:rPr>
        <w:t xml:space="preserve">BRIEFING – PARA UTILIZAÇÃO NA ELABORAÇÃO DA PROPOSTA TÉCNICA </w:t>
      </w:r>
    </w:p>
    <w:p w14:paraId="4D8F42E1" w14:textId="77777777" w:rsidR="00932A6F" w:rsidRPr="001C6BC3" w:rsidRDefault="00932A6F" w:rsidP="001C6BC3">
      <w:pPr>
        <w:pStyle w:val="Default"/>
        <w:jc w:val="both"/>
        <w:rPr>
          <w:rFonts w:ascii="Arial" w:hAnsi="Arial" w:cs="Arial"/>
          <w:b/>
          <w:bCs/>
          <w:i/>
          <w:iCs/>
        </w:rPr>
      </w:pPr>
      <w:r w:rsidRPr="001C6BC3">
        <w:rPr>
          <w:rFonts w:ascii="Arial" w:hAnsi="Arial" w:cs="Arial"/>
          <w:b/>
          <w:bCs/>
          <w:i/>
          <w:iCs/>
        </w:rPr>
        <w:t xml:space="preserve">BRIEFING PARA CAMPANHA SIMULADA </w:t>
      </w:r>
    </w:p>
    <w:p w14:paraId="4BA4E82C" w14:textId="77777777" w:rsidR="001246BA" w:rsidRPr="001C6BC3" w:rsidRDefault="001246BA" w:rsidP="001C6BC3">
      <w:pPr>
        <w:pStyle w:val="Default"/>
        <w:jc w:val="both"/>
        <w:rPr>
          <w:rFonts w:ascii="Arial" w:hAnsi="Arial" w:cs="Arial"/>
        </w:rPr>
      </w:pPr>
    </w:p>
    <w:p w14:paraId="0C0584EA" w14:textId="77777777" w:rsidR="00932A6F" w:rsidRPr="001C6BC3" w:rsidRDefault="00932A6F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  <w:b/>
          <w:bCs/>
        </w:rPr>
        <w:t xml:space="preserve">BRIEFING </w:t>
      </w:r>
    </w:p>
    <w:p w14:paraId="4AC8A9F2" w14:textId="77777777" w:rsidR="00932A6F" w:rsidRPr="001C6BC3" w:rsidRDefault="00932A6F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</w:rPr>
        <w:t xml:space="preserve">As informações aqui apresentadas têm por objetivo fornecer o maior número possível de elementos e orientações para que as agências possam fazer a elaboração e o desenvolvimento do Plano de Comunicação a ser apresentado. </w:t>
      </w:r>
    </w:p>
    <w:p w14:paraId="26151ECD" w14:textId="77777777" w:rsidR="001246BA" w:rsidRPr="001C6BC3" w:rsidRDefault="001246BA" w:rsidP="001C6BC3">
      <w:pPr>
        <w:pStyle w:val="Default"/>
        <w:jc w:val="both"/>
        <w:rPr>
          <w:rFonts w:ascii="Arial" w:hAnsi="Arial" w:cs="Arial"/>
        </w:rPr>
      </w:pPr>
    </w:p>
    <w:p w14:paraId="0F2C97D0" w14:textId="77777777" w:rsidR="00932A6F" w:rsidRPr="001C6BC3" w:rsidRDefault="00932A6F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  <w:b/>
          <w:bCs/>
        </w:rPr>
        <w:t xml:space="preserve">TEMA </w:t>
      </w:r>
    </w:p>
    <w:p w14:paraId="3CC8B372" w14:textId="0D0273DF" w:rsidR="00932A6F" w:rsidRPr="001C6BC3" w:rsidRDefault="00932A6F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</w:rPr>
        <w:t xml:space="preserve">O IPTU, Imposto Predial e Territorial Urbano, é um dos principais impostos cobrado diretamente pela Prefeitura, e é a origem de grande parte dos recursos próprios a serem investidos. Por isso, a campanha do IPTU é uma das mais importantes de todo o calendário da Prefeitura de </w:t>
      </w:r>
      <w:r w:rsidR="001246BA" w:rsidRPr="001C6BC3">
        <w:rPr>
          <w:rFonts w:ascii="Arial" w:hAnsi="Arial" w:cs="Arial"/>
        </w:rPr>
        <w:t>Sulina</w:t>
      </w:r>
      <w:r w:rsidRPr="001C6BC3">
        <w:rPr>
          <w:rFonts w:ascii="Arial" w:hAnsi="Arial" w:cs="Arial"/>
        </w:rPr>
        <w:t xml:space="preserve">. </w:t>
      </w:r>
    </w:p>
    <w:p w14:paraId="18EB7A93" w14:textId="77777777" w:rsidR="001246BA" w:rsidRPr="001C6BC3" w:rsidRDefault="001246BA" w:rsidP="001C6BC3">
      <w:pPr>
        <w:pStyle w:val="Default"/>
        <w:jc w:val="both"/>
        <w:rPr>
          <w:rFonts w:ascii="Arial" w:hAnsi="Arial" w:cs="Arial"/>
        </w:rPr>
      </w:pPr>
    </w:p>
    <w:p w14:paraId="7A98EEAF" w14:textId="77777777" w:rsidR="00932A6F" w:rsidRPr="001C6BC3" w:rsidRDefault="00932A6F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  <w:b/>
          <w:bCs/>
        </w:rPr>
        <w:t xml:space="preserve">ESTRATÉGIA DE COMUNICAÇÃO DESEJADA </w:t>
      </w:r>
    </w:p>
    <w:p w14:paraId="58099A59" w14:textId="04F69EF2" w:rsidR="00932A6F" w:rsidRPr="001C6BC3" w:rsidRDefault="001246BA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</w:rPr>
        <w:t>O objetivo</w:t>
      </w:r>
      <w:r w:rsidR="00932A6F" w:rsidRPr="001C6BC3">
        <w:rPr>
          <w:rFonts w:ascii="Arial" w:hAnsi="Arial" w:cs="Arial"/>
        </w:rPr>
        <w:t xml:space="preserve"> </w:t>
      </w:r>
      <w:r w:rsidRPr="001C6BC3">
        <w:rPr>
          <w:rFonts w:ascii="Arial" w:hAnsi="Arial" w:cs="Arial"/>
        </w:rPr>
        <w:t xml:space="preserve">é </w:t>
      </w:r>
      <w:r w:rsidR="00932A6F" w:rsidRPr="001C6BC3">
        <w:rPr>
          <w:rFonts w:ascii="Arial" w:hAnsi="Arial" w:cs="Arial"/>
        </w:rPr>
        <w:t xml:space="preserve">a Prefeitura </w:t>
      </w:r>
      <w:r w:rsidRPr="001C6BC3">
        <w:rPr>
          <w:rFonts w:ascii="Arial" w:hAnsi="Arial" w:cs="Arial"/>
        </w:rPr>
        <w:t>incentivar</w:t>
      </w:r>
      <w:r w:rsidR="00932A6F" w:rsidRPr="001C6BC3">
        <w:rPr>
          <w:rFonts w:ascii="Arial" w:hAnsi="Arial" w:cs="Arial"/>
        </w:rPr>
        <w:t xml:space="preserve"> ao máximo o pagamento do IPTU em dia. A campanha deve trazer apelo no sentido de </w:t>
      </w:r>
      <w:r w:rsidRPr="001C6BC3">
        <w:rPr>
          <w:rFonts w:ascii="Arial" w:hAnsi="Arial" w:cs="Arial"/>
        </w:rPr>
        <w:t xml:space="preserve">evitar que os cidadãos fiquem inadimplentes perante a Receita Municipal, podendo gerar juros e multas em caso de atraso no pagamento, podendo até ser bloqueada a emissão de </w:t>
      </w:r>
      <w:r w:rsidR="002D0917" w:rsidRPr="001C6BC3">
        <w:rPr>
          <w:rFonts w:ascii="Arial" w:hAnsi="Arial" w:cs="Arial"/>
        </w:rPr>
        <w:t>C</w:t>
      </w:r>
      <w:r w:rsidRPr="001C6BC3">
        <w:rPr>
          <w:rFonts w:ascii="Arial" w:hAnsi="Arial" w:cs="Arial"/>
        </w:rPr>
        <w:t xml:space="preserve">ertidão </w:t>
      </w:r>
      <w:r w:rsidR="002D0917" w:rsidRPr="001C6BC3">
        <w:rPr>
          <w:rFonts w:ascii="Arial" w:hAnsi="Arial" w:cs="Arial"/>
        </w:rPr>
        <w:t>N</w:t>
      </w:r>
      <w:r w:rsidRPr="001C6BC3">
        <w:rPr>
          <w:rFonts w:ascii="Arial" w:hAnsi="Arial" w:cs="Arial"/>
        </w:rPr>
        <w:t>egativa para o CPF de cidadão</w:t>
      </w:r>
      <w:r w:rsidR="00932A6F" w:rsidRPr="001C6BC3">
        <w:rPr>
          <w:rFonts w:ascii="Arial" w:hAnsi="Arial" w:cs="Arial"/>
        </w:rPr>
        <w:t xml:space="preserve"> </w:t>
      </w:r>
      <w:r w:rsidRPr="001C6BC3">
        <w:rPr>
          <w:rFonts w:ascii="Arial" w:hAnsi="Arial" w:cs="Arial"/>
        </w:rPr>
        <w:t>inadimplente.</w:t>
      </w:r>
    </w:p>
    <w:p w14:paraId="119E7FE9" w14:textId="77777777" w:rsidR="001246BA" w:rsidRPr="001C6BC3" w:rsidRDefault="001246BA" w:rsidP="001C6BC3">
      <w:pPr>
        <w:pStyle w:val="Default"/>
        <w:jc w:val="both"/>
        <w:rPr>
          <w:rFonts w:ascii="Arial" w:hAnsi="Arial" w:cs="Arial"/>
        </w:rPr>
      </w:pPr>
    </w:p>
    <w:p w14:paraId="03731C08" w14:textId="01D20E47" w:rsidR="00932A6F" w:rsidRPr="001C6BC3" w:rsidRDefault="00932A6F" w:rsidP="001C6BC3">
      <w:pPr>
        <w:pStyle w:val="Default"/>
        <w:jc w:val="both"/>
        <w:rPr>
          <w:rFonts w:ascii="Arial" w:hAnsi="Arial" w:cs="Arial"/>
        </w:rPr>
      </w:pPr>
      <w:r w:rsidRPr="001C6BC3">
        <w:rPr>
          <w:rFonts w:ascii="Arial" w:hAnsi="Arial" w:cs="Arial"/>
          <w:b/>
          <w:bCs/>
        </w:rPr>
        <w:t>PERÍODO</w:t>
      </w:r>
      <w:r w:rsidRPr="001C6BC3">
        <w:rPr>
          <w:rFonts w:ascii="Arial" w:hAnsi="Arial" w:cs="Arial"/>
        </w:rPr>
        <w:t xml:space="preserve"> </w:t>
      </w:r>
    </w:p>
    <w:p w14:paraId="0A59EB52" w14:textId="77777777" w:rsidR="001246BA" w:rsidRPr="001C6BC3" w:rsidRDefault="00932A6F" w:rsidP="001C6BC3">
      <w:pPr>
        <w:jc w:val="both"/>
        <w:rPr>
          <w:rFonts w:ascii="Arial" w:hAnsi="Arial" w:cs="Arial"/>
          <w:sz w:val="24"/>
          <w:szCs w:val="24"/>
        </w:rPr>
      </w:pPr>
      <w:r w:rsidRPr="001C6BC3">
        <w:rPr>
          <w:rFonts w:ascii="Arial" w:hAnsi="Arial" w:cs="Arial"/>
          <w:sz w:val="24"/>
          <w:szCs w:val="24"/>
        </w:rPr>
        <w:t xml:space="preserve">A campanha deverá ter a duração de até 30 dias. </w:t>
      </w:r>
    </w:p>
    <w:p w14:paraId="006CD2E8" w14:textId="77777777" w:rsidR="001246BA" w:rsidRPr="001C6BC3" w:rsidRDefault="00932A6F" w:rsidP="001C6BC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C6BC3">
        <w:rPr>
          <w:rFonts w:ascii="Arial" w:hAnsi="Arial" w:cs="Arial"/>
          <w:b/>
          <w:bCs/>
          <w:sz w:val="24"/>
          <w:szCs w:val="24"/>
        </w:rPr>
        <w:t>VERBA</w:t>
      </w:r>
      <w:r w:rsidRPr="001C6BC3">
        <w:rPr>
          <w:rFonts w:ascii="Arial" w:hAnsi="Arial" w:cs="Arial"/>
          <w:sz w:val="24"/>
          <w:szCs w:val="24"/>
        </w:rPr>
        <w:t xml:space="preserve"> </w:t>
      </w:r>
    </w:p>
    <w:p w14:paraId="457247AE" w14:textId="676301FA" w:rsidR="001246BA" w:rsidRPr="001C6BC3" w:rsidRDefault="00932A6F" w:rsidP="001C6BC3">
      <w:pPr>
        <w:jc w:val="both"/>
        <w:rPr>
          <w:rFonts w:ascii="Arial" w:hAnsi="Arial" w:cs="Arial"/>
          <w:sz w:val="24"/>
          <w:szCs w:val="24"/>
        </w:rPr>
      </w:pPr>
      <w:r w:rsidRPr="001C6BC3">
        <w:rPr>
          <w:rFonts w:ascii="Arial" w:hAnsi="Arial" w:cs="Arial"/>
          <w:sz w:val="24"/>
          <w:szCs w:val="24"/>
        </w:rPr>
        <w:t xml:space="preserve">A verba para </w:t>
      </w:r>
      <w:r w:rsidR="008D7E39" w:rsidRPr="001C6BC3">
        <w:rPr>
          <w:rFonts w:ascii="Arial" w:hAnsi="Arial" w:cs="Arial"/>
          <w:sz w:val="24"/>
          <w:szCs w:val="24"/>
        </w:rPr>
        <w:t>esta</w:t>
      </w:r>
      <w:r w:rsidRPr="001C6BC3">
        <w:rPr>
          <w:rFonts w:ascii="Arial" w:hAnsi="Arial" w:cs="Arial"/>
          <w:sz w:val="24"/>
          <w:szCs w:val="24"/>
        </w:rPr>
        <w:t xml:space="preserve"> campanha simulada é de R$ </w:t>
      </w:r>
      <w:r w:rsidR="001246BA" w:rsidRPr="001C6BC3">
        <w:rPr>
          <w:rFonts w:ascii="Arial" w:hAnsi="Arial" w:cs="Arial"/>
          <w:sz w:val="24"/>
          <w:szCs w:val="24"/>
        </w:rPr>
        <w:t>5</w:t>
      </w:r>
      <w:r w:rsidR="003C25C0" w:rsidRPr="001C6BC3">
        <w:rPr>
          <w:rFonts w:ascii="Arial" w:hAnsi="Arial" w:cs="Arial"/>
          <w:sz w:val="24"/>
          <w:szCs w:val="24"/>
        </w:rPr>
        <w:t>0</w:t>
      </w:r>
      <w:r w:rsidR="001246BA" w:rsidRPr="001C6BC3">
        <w:rPr>
          <w:rFonts w:ascii="Arial" w:hAnsi="Arial" w:cs="Arial"/>
          <w:sz w:val="24"/>
          <w:szCs w:val="24"/>
        </w:rPr>
        <w:t>.000</w:t>
      </w:r>
      <w:r w:rsidRPr="001C6BC3">
        <w:rPr>
          <w:rFonts w:ascii="Arial" w:hAnsi="Arial" w:cs="Arial"/>
          <w:sz w:val="24"/>
          <w:szCs w:val="24"/>
        </w:rPr>
        <w:t>,00, para os custos com Produção e Mídia (permitido utilizar veículos de comunicação</w:t>
      </w:r>
      <w:r w:rsidR="001246BA" w:rsidRPr="001C6BC3">
        <w:rPr>
          <w:rFonts w:ascii="Arial" w:hAnsi="Arial" w:cs="Arial"/>
          <w:sz w:val="24"/>
          <w:szCs w:val="24"/>
        </w:rPr>
        <w:t xml:space="preserve"> local</w:t>
      </w:r>
      <w:r w:rsidRPr="001C6BC3">
        <w:rPr>
          <w:rFonts w:ascii="Arial" w:hAnsi="Arial" w:cs="Arial"/>
          <w:sz w:val="24"/>
          <w:szCs w:val="24"/>
        </w:rPr>
        <w:t xml:space="preserve"> que operam com preços na modalidade Leilão). </w:t>
      </w:r>
    </w:p>
    <w:p w14:paraId="63BDEB50" w14:textId="2B3631C1" w:rsidR="001246BA" w:rsidRPr="001C6BC3" w:rsidRDefault="00932A6F" w:rsidP="001C6BC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C6BC3">
        <w:rPr>
          <w:rFonts w:ascii="Arial" w:hAnsi="Arial" w:cs="Arial"/>
          <w:b/>
          <w:bCs/>
          <w:sz w:val="24"/>
          <w:szCs w:val="24"/>
        </w:rPr>
        <w:t>PÚBLICO-ALVO</w:t>
      </w:r>
      <w:r w:rsidRPr="001C6BC3">
        <w:rPr>
          <w:rFonts w:ascii="Arial" w:hAnsi="Arial" w:cs="Arial"/>
          <w:sz w:val="24"/>
          <w:szCs w:val="24"/>
        </w:rPr>
        <w:t xml:space="preserve"> </w:t>
      </w:r>
    </w:p>
    <w:p w14:paraId="1B97C77F" w14:textId="09514BB8" w:rsidR="006D0D64" w:rsidRPr="001C6BC3" w:rsidRDefault="00932A6F" w:rsidP="001C6BC3">
      <w:pPr>
        <w:jc w:val="both"/>
        <w:rPr>
          <w:rFonts w:ascii="Arial" w:hAnsi="Arial" w:cs="Arial"/>
          <w:sz w:val="24"/>
          <w:szCs w:val="24"/>
        </w:rPr>
      </w:pPr>
      <w:r w:rsidRPr="001C6BC3">
        <w:rPr>
          <w:rFonts w:ascii="Arial" w:hAnsi="Arial" w:cs="Arial"/>
          <w:sz w:val="24"/>
          <w:szCs w:val="24"/>
        </w:rPr>
        <w:t xml:space="preserve">Todos os cidadãos </w:t>
      </w:r>
      <w:proofErr w:type="gramStart"/>
      <w:r w:rsidRPr="001C6BC3">
        <w:rPr>
          <w:rFonts w:ascii="Arial" w:hAnsi="Arial" w:cs="Arial"/>
          <w:sz w:val="24"/>
          <w:szCs w:val="24"/>
        </w:rPr>
        <w:t xml:space="preserve">de </w:t>
      </w:r>
      <w:r w:rsidR="001246BA" w:rsidRPr="001C6BC3">
        <w:rPr>
          <w:rFonts w:ascii="Arial" w:hAnsi="Arial" w:cs="Arial"/>
          <w:sz w:val="24"/>
          <w:szCs w:val="24"/>
        </w:rPr>
        <w:t>Sulina</w:t>
      </w:r>
      <w:proofErr w:type="gramEnd"/>
      <w:r w:rsidRPr="001C6BC3">
        <w:rPr>
          <w:rFonts w:ascii="Arial" w:hAnsi="Arial" w:cs="Arial"/>
          <w:sz w:val="24"/>
          <w:szCs w:val="24"/>
        </w:rPr>
        <w:t>, em especial a população adulta, com ênfase nas pessoas que são responsáveis pelo pagamento do IPTU, proprietários de imóveis ou inquilinos, que por força de contrato são responsáveis pelo pagamento do imposto.</w:t>
      </w:r>
    </w:p>
    <w:sectPr w:rsidR="006D0D64" w:rsidRPr="001C6B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A6F"/>
    <w:rsid w:val="001246BA"/>
    <w:rsid w:val="00192F03"/>
    <w:rsid w:val="001C6BC3"/>
    <w:rsid w:val="002D0917"/>
    <w:rsid w:val="003C25C0"/>
    <w:rsid w:val="00404394"/>
    <w:rsid w:val="004C2F81"/>
    <w:rsid w:val="004D55F1"/>
    <w:rsid w:val="005C4D65"/>
    <w:rsid w:val="006D0D64"/>
    <w:rsid w:val="00812F79"/>
    <w:rsid w:val="008D7E39"/>
    <w:rsid w:val="00932A6F"/>
    <w:rsid w:val="00A974F9"/>
    <w:rsid w:val="00BB1D52"/>
    <w:rsid w:val="00BB433C"/>
    <w:rsid w:val="00D573E3"/>
    <w:rsid w:val="00EC3C53"/>
    <w:rsid w:val="00F2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2660"/>
  <w15:chartTrackingRefBased/>
  <w15:docId w15:val="{A39148B0-75B5-44FA-A89E-252A8BDF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32A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alyson augusto  padilha</dc:creator>
  <cp:keywords/>
  <dc:description/>
  <cp:lastModifiedBy>Ediceia</cp:lastModifiedBy>
  <cp:revision>3</cp:revision>
  <dcterms:created xsi:type="dcterms:W3CDTF">2025-02-07T16:59:00Z</dcterms:created>
  <dcterms:modified xsi:type="dcterms:W3CDTF">2025-04-02T13:03:00Z</dcterms:modified>
</cp:coreProperties>
</file>